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Heron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Phillip Gross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Heron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459"/>
        <w:spacing w:after="0"/>
        <w:rPr>
          <w:sz w:val="20"/>
          <w:szCs w:val="20"/>
          <w:color w:val="auto"/>
        </w:rPr>
      </w:pPr>
      <w:r>
        <w:rPr>
          <w:rFonts w:ascii="Times New Roman" w:cs="Times New Roman" w:eastAsia="Times New Roman" w:hAnsi="Times New Roman"/>
          <w:sz w:val="22"/>
          <w:szCs w:val="22"/>
          <w:color w:val="auto"/>
        </w:rPr>
        <w:t>100 Regency Forest Drive, Suite 300, Cary, NC 27518</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20"/>
        <w:spacing w:after="0" w:line="246" w:lineRule="auto"/>
        <w:rPr>
          <w:sz w:val="20"/>
          <w:szCs w:val="20"/>
          <w:color w:val="auto"/>
        </w:rPr>
      </w:pPr>
      <w:r>
        <w:rPr>
          <w:rFonts w:ascii="Times New Roman" w:cs="Times New Roman" w:eastAsia="Times New Roman" w:hAnsi="Times New Roman"/>
          <w:sz w:val="21"/>
          <w:szCs w:val="21"/>
          <w:color w:val="auto"/>
        </w:rPr>
        <w:t>This statement is filed by: (i) Adage Capital Management, L.P., a Delaware limited partnership ("ACM"), as the investment manager of Adage Capital Partners, L.P., a Delaware limited partnership ("ACP"), with respect to the shares of common stock, par value $0.01 per share ("Common Stock"), of Heron Therapeutics, Inc., a Delaware corporation, that were directly held by ACP; (ii) Robert Atchinson ("Mr. Atchinson"), as (1) managing member of Adage Capital Advisors, L.L.C., a limited liability company organized under the laws of the State of Delaware</w:t>
      </w:r>
    </w:p>
    <w:p>
      <w:pPr>
        <w:spacing w:after="0" w:line="1" w:lineRule="exact"/>
        <w:rPr>
          <w:sz w:val="20"/>
          <w:szCs w:val="20"/>
          <w:color w:val="auto"/>
        </w:rPr>
      </w:pPr>
    </w:p>
    <w:p>
      <w:pPr>
        <w:ind w:left="920" w:hanging="912"/>
        <w:spacing w:after="0" w:line="232"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("ACA"), managing member of Adage Capital Partners GP, L.L.C., a limited liability company organized under the laws of the State of Delaware ("ACPGP"), general partner of ACP and (2) managing member of Adage Capital Partners LLC, a Delaware limited liability company ("ACPLLC"), general partner of ACM, with respect to the shares of Common Stock that were directly held by ACP; and (iii) Phillip Gross ("Mr. Gross"), as (1) managing member of ACA, managing member of ACPGP and (2) managing member of ACPLLC, general partner of ACM, with respect to the shares of Common Stock that were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w:t>
      </w:r>
    </w:p>
    <w:p>
      <w:pPr>
        <w:sectPr>
          <w:pgSz w:w="11900" w:h="16838" w:orient="portrait"/>
          <w:cols w:equalWidth="0" w:num="1">
            <w:col w:w="11120"/>
          </w:cols>
          <w:pgMar w:left="360" w:top="112" w:right="419" w:bottom="127" w:gutter="0" w:footer="0" w:header="0"/>
        </w:sect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200 Clarendon Street, 52nd Floor, Boston, Massachusetts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ACM is a limited partnership organized under the laws of the State of Delaware. Messrs. Gross and Atchinson are citizens of the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2" w:right="419" w:bottom="127"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4(a) is set forth in Row 9 of the cover page for each of the Reporting Persons and is incorporated herein by reference.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20"/>
          </w:cols>
          <w:pgMar w:left="360" w:top="112" w:right="419" w:bottom="127"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34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Adage Capital Partners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Robert Atchinson,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Robert Atchinson, individually</w:t>
      </w:r>
    </w:p>
    <w:p>
      <w:pPr>
        <w:spacing w:after="0" w:line="44"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Phillip Gross</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Phillip Gross</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Phillip Gross, individually</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2026-05-13T08:06:35Z</dcterms:created>
  <dcterms:modified xsi:type="dcterms:W3CDTF">2026-05-13T08:06:35Z</dcterms:modified>
</cp:coreProperties>
</file>