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4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4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 2026</w:t>
      </w:r>
    </w:p>
    <w:p>
      <w:pPr>
        <w:spacing w:after="0" w:line="20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Heron Therapeutics, Inc.</w:t>
      </w: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100"/>
          </w:cols>
          <w:pgMar w:left="320" w:top="1440" w:right="479" w:bottom="1440" w:gutter="0" w:footer="0" w:header="0"/>
        </w:sectPr>
      </w:pPr>
    </w:p>
    <w:p>
      <w:pPr>
        <w:spacing w:after="0" w:line="228" w:lineRule="exact"/>
        <w:rPr>
          <w:sz w:val="24"/>
          <w:szCs w:val="24"/>
          <w:color w:val="auto"/>
        </w:rPr>
      </w:pPr>
    </w:p>
    <w:p>
      <w:pPr>
        <w:ind w:left="21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001-33221</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94-2875566</w:t>
      </w:r>
    </w:p>
    <w:p>
      <w:pPr>
        <w:spacing w:after="0" w:line="24" w:lineRule="exact"/>
        <w:rPr>
          <w:sz w:val="24"/>
          <w:szCs w:val="24"/>
          <w:color w:val="auto"/>
        </w:rPr>
      </w:pPr>
    </w:p>
    <w:p>
      <w:pPr>
        <w:sectPr>
          <w:pgSz w:w="11900" w:h="16838" w:orient="portrait"/>
          <w:cols w:equalWidth="0" w:num="3">
            <w:col w:w="5280" w:space="720"/>
            <w:col w:w="2400" w:space="720"/>
            <w:col w:w="1980"/>
          </w:cols>
          <w:pgMar w:left="320" w:top="1440" w:right="479" w:bottom="1440" w:gutter="0" w:footer="0" w:header="0"/>
          <w:type w:val="continuous"/>
        </w:sectPr>
      </w:pPr>
    </w:p>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74" w:lineRule="exact"/>
        <w:rPr>
          <w:sz w:val="24"/>
          <w:szCs w:val="24"/>
          <w:color w:val="auto"/>
        </w:rPr>
      </w:pPr>
    </w:p>
    <w:p>
      <w:pPr>
        <w:sectPr>
          <w:pgSz w:w="11900" w:h="16838" w:orient="portrait"/>
          <w:cols w:equalWidth="0" w:num="3">
            <w:col w:w="5260" w:space="720"/>
            <w:col w:w="2280" w:space="720"/>
            <w:col w:w="2120"/>
          </w:cols>
          <w:pgMar w:left="320" w:top="1440" w:right="479" w:bottom="1440" w:gutter="0" w:footer="0" w:header="0"/>
          <w:type w:val="continuous"/>
        </w:sectPr>
      </w:pPr>
    </w:p>
    <w:p>
      <w:pPr>
        <w:ind w:left="3060"/>
        <w:spacing w:after="0"/>
        <w:rPr>
          <w:sz w:val="20"/>
          <w:szCs w:val="20"/>
          <w:color w:val="auto"/>
        </w:rPr>
      </w:pPr>
      <w:r>
        <w:rPr>
          <w:rFonts w:ascii="Times New Roman" w:cs="Times New Roman" w:eastAsia="Times New Roman" w:hAnsi="Times New Roman"/>
          <w:sz w:val="17"/>
          <w:szCs w:val="17"/>
          <w:b w:val="1"/>
          <w:bCs w:val="1"/>
          <w:color w:val="auto"/>
        </w:rPr>
        <w:t>25 Fenton Main Street, Suite 300, Cary, 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27511</w:t>
      </w:r>
    </w:p>
    <w:p>
      <w:pPr>
        <w:spacing w:after="0" w:line="31" w:lineRule="exact"/>
        <w:rPr>
          <w:sz w:val="24"/>
          <w:szCs w:val="24"/>
          <w:color w:val="auto"/>
        </w:rPr>
      </w:pPr>
    </w:p>
    <w:p>
      <w:pPr>
        <w:sectPr>
          <w:pgSz w:w="11900" w:h="16838" w:orient="portrait"/>
          <w:cols w:equalWidth="0" w:num="2">
            <w:col w:w="9480" w:space="720"/>
            <w:col w:w="900"/>
          </w:cols>
          <w:pgMar w:left="320" w:top="1440" w:right="479" w:bottom="1440" w:gutter="0" w:footer="0" w:header="0"/>
          <w:type w:val="continuous"/>
        </w:sectPr>
      </w:pPr>
    </w:p>
    <w:p>
      <w:pPr>
        <w:ind w:left="35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87" w:lineRule="exact"/>
        <w:rPr>
          <w:sz w:val="24"/>
          <w:szCs w:val="24"/>
          <w:color w:val="auto"/>
        </w:rPr>
      </w:pPr>
    </w:p>
    <w:p>
      <w:pPr>
        <w:sectPr>
          <w:pgSz w:w="11900" w:h="16838" w:orient="portrait"/>
          <w:cols w:equalWidth="0" w:num="2">
            <w:col w:w="9380" w:space="720"/>
            <w:col w:w="1000"/>
          </w:cols>
          <w:pgMar w:left="320" w:top="1440" w:right="47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(858) 251-4400</w:t>
      </w:r>
    </w:p>
    <w:p>
      <w:pPr>
        <w:spacing w:after="0" w:line="11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11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23"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340" w:hanging="319"/>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340" w:hanging="319"/>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280" w:hanging="259"/>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2780" w:firstLine="21"/>
        <w:spacing w:after="0" w:line="387" w:lineRule="auto"/>
        <w:tabs>
          <w:tab w:leader="none" w:pos="26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ectPr>
          <w:pgSz w:w="11900" w:h="16838" w:orient="portrait"/>
          <w:cols w:equalWidth="0" w:num="1">
            <w:col w:w="11100"/>
          </w:cols>
          <w:pgMar w:left="320" w:top="1440" w:right="479" w:bottom="1440" w:gutter="0" w:footer="0" w:header="0"/>
          <w:type w:val="continuous"/>
        </w:sectPr>
      </w:pPr>
    </w:p>
    <w:p>
      <w:pPr>
        <w:spacing w:after="0" w:line="1"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29" w:lineRule="exact"/>
        <w:rPr>
          <w:sz w:val="24"/>
          <w:szCs w:val="24"/>
          <w:color w:val="auto"/>
        </w:rPr>
      </w:pPr>
    </w:p>
    <w:p>
      <w:pPr>
        <w:sectPr>
          <w:pgSz w:w="11900" w:h="16838" w:orient="portrait"/>
          <w:cols w:equalWidth="0" w:num="3">
            <w:col w:w="4760" w:space="720"/>
            <w:col w:w="1620" w:space="720"/>
            <w:col w:w="3280"/>
          </w:cols>
          <w:pgMar w:left="320" w:top="1440" w:right="479" w:bottom="1440" w:gutter="0" w:footer="0" w:header="0"/>
          <w:type w:val="continuous"/>
        </w:sectPr>
      </w:pPr>
    </w:p>
    <w:p>
      <w:pPr>
        <w:ind w:left="900"/>
        <w:spacing w:after="0"/>
        <w:rPr>
          <w:sz w:val="20"/>
          <w:szCs w:val="20"/>
          <w:color w:val="auto"/>
        </w:rPr>
      </w:pPr>
      <w:r>
        <w:rPr>
          <w:rFonts w:ascii="Times New Roman" w:cs="Times New Roman" w:eastAsia="Times New Roman" w:hAnsi="Times New Roman"/>
          <w:sz w:val="17"/>
          <w:szCs w:val="17"/>
          <w:b w:val="1"/>
          <w:bCs w:val="1"/>
          <w:color w:val="auto"/>
        </w:rPr>
        <w:t>Common Stock, par value $0.01 per share</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Times New Roman" w:cs="Times New Roman" w:eastAsia="Times New Roman" w:hAnsi="Times New Roman"/>
          <w:sz w:val="17"/>
          <w:szCs w:val="17"/>
          <w:b w:val="1"/>
          <w:bCs w:val="1"/>
          <w:color w:val="auto"/>
        </w:rPr>
        <w:t>HRTX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The Nasdaq Capital Market</w:t>
      </w:r>
    </w:p>
    <w:p>
      <w:pPr>
        <w:spacing w:after="0" w:line="107" w:lineRule="exact"/>
        <w:rPr>
          <w:sz w:val="24"/>
          <w:szCs w:val="24"/>
          <w:color w:val="auto"/>
        </w:rPr>
      </w:pPr>
    </w:p>
    <w:p>
      <w:pPr>
        <w:sectPr>
          <w:pgSz w:w="11900" w:h="16838" w:orient="portrait"/>
          <w:cols w:equalWidth="0" w:num="3">
            <w:col w:w="5060" w:space="720"/>
            <w:col w:w="1580" w:space="720"/>
            <w:col w:w="3020"/>
          </w:cols>
          <w:pgMar w:left="320" w:top="1440" w:right="479" w:bottom="1440" w:gutter="0" w:footer="0" w:header="0"/>
          <w:type w:val="continuous"/>
        </w:sect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938530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type w:val="continuous"/>
        </w:sectPr>
      </w:pPr>
    </w:p>
    <w:bookmarkStart w:id="1" w:name="page2"/>
    <w:bookmarkEnd w:id="1"/>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9"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8"/>
          <w:szCs w:val="18"/>
          <w:color w:val="auto"/>
        </w:rPr>
        <w:t>As previously disclosed, on December 11, 2023, Heron Therapeutics, Inc. (“Company”) received a Paragraph IV notice of certification (the “Slayback Notice”) from Slayback Pharma LLC (“Slayback”) (now owned by Azurity Pharmaceuticals, Inc. (“Azurity”)) advising that Slayback had submitted a new drug application (“NDA”) under Section 505(b)(2) of the Federal Food, Drug, and Cosmetic Act to the FDA seeking approval to manufacture, use or sell a generic version of CINVANTI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in the U.S. (“Slayback’s NDA”) prior to the expiration of the patents listed in the Orange Book. The Slayback Notice alleged that the CINVANTI Orange Book patents are invalid, unenforceable and/or will not be infringed by the commercial manufacture, use or sale of the generic product described in Slayback’s NDA.</w:t>
      </w:r>
    </w:p>
    <w:p>
      <w:pPr>
        <w:spacing w:after="0" w:line="19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January 24, 2024, the Company filed a complaint for patent infringement of the CINVANTI Orange Book patents against Slayback and a related entity in the U.S. District Court for the District of New Jersey in response to Slayback’s NDA filing. The complaint sought, among other relief, equitable relief enjoining Slayback from infringing those patents. On July 2, 2024, the U.S. District Court for the District of New Jersey granted Slayback’s motion to transfer this matter to the U.S. District Court for the District of Delaware. On December 12, 2024, the Company filed a complaint against Slayback, Azurity, and related entities in the U.S. District Court for District of Delaware (the “District Court”) for patent infringement of U.S. Patent Nos. 12,115,254 and 12,115,255. On May 23, 2025, the Company filed an amended complaint against Slayback, Azurity and related entities adding an allegation of patent infringement of U.S. Patent No. 12,290,520. On September 16, 2025, the parties entered into a stipulation (Case No. 24-1363, D.I. 119) limiting the issues for trial. On November 17, 2025, the parties commenced a two-day bench trial centered on Azurity’s §112 defenses of claims from U.S. Patent Nos. 12,115,255 and 12,290,520 that cover CINVANTI. On February 6, 2026, the post-trial briefing was completed, and, on March 24, 2026, the Court held closing arguments.</w:t>
      </w:r>
    </w:p>
    <w:p>
      <w:pPr>
        <w:spacing w:after="0" w:line="194"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8"/>
          <w:szCs w:val="18"/>
          <w:color w:val="auto"/>
        </w:rPr>
        <w:t>On June 2, 2026, the Company issued a press release announcing that the District Court issued a decision on June 1, 2026, holding that the asserted claims of Heron’s U.S. Patent Nos. 12,115,255 and 12,290,520 are invalid. This decision has no impact on any prior settlement agreement related to CINVANTI (aprepitant) injectable emulsion or APONVIE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(aprepitant) injectable emulsion. Heron intends to appeal the decision to the United States Court of Appeals for the Federal Circuit, a court that specializes in patent disputes. A copy of the press release is filed as Exhibit 99.1 to this Current Report on Form 8-K and is incorporated herein by reference.</w:t>
      </w:r>
    </w:p>
    <w:p>
      <w:pPr>
        <w:spacing w:after="0" w:line="223" w:lineRule="exact"/>
        <w:rPr>
          <w:sz w:val="20"/>
          <w:szCs w:val="20"/>
          <w:color w:val="auto"/>
        </w:rPr>
      </w:pPr>
    </w:p>
    <w:p>
      <w:pPr>
        <w:ind w:right="320"/>
        <w:spacing w:after="0" w:line="257"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as defined by the Private Securities Litigation Reform Act of 1995. Forward-looking statements involve risks and uncertainties. Actual results and the timing of events could differ materially from those anticipated in the forward-looking statements as a result of these risks and uncertainties. Examples of forward-looking statements include, among others, statements regarding whether the Company appeals the decision and its ability to obtain a stay of market entry. Important factors that could cause actual results to differ materially from those in the forward-looking statements are set forth in</w:t>
      </w:r>
    </w:p>
    <w:p>
      <w:pPr>
        <w:spacing w:after="0" w:line="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the Company’s most recent Annual Report on Form 10-K and any subsequent Quarterly Reports on Form 10-Q, and in the Company’s other reports filed with the Securities and Exchange Commission, including under the caption “Risk Factors.” The Company undertakes no obligation to update or revise these statements except as may be required by law.</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2"/>
        </w:trPr>
        <w:tc>
          <w:tcPr>
            <w:tcW w:w="12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99.1</w:t>
            </w:r>
          </w:p>
        </w:tc>
        <w:tc>
          <w:tcPr>
            <w:tcW w:w="2440" w:type="dxa"/>
            <w:vAlign w:val="bottom"/>
            <w:tcBorders>
              <w:bottom w:val="single" w:sz="8" w:color="0000EE"/>
            </w:tcBorders>
          </w:tcPr>
          <w:p>
            <w:pPr>
              <w:spacing w:after="0" w:line="202" w:lineRule="exact"/>
              <w:rPr>
                <w:sz w:val="20"/>
                <w:szCs w:val="20"/>
                <w:color w:val="auto"/>
              </w:rPr>
            </w:pPr>
            <w:r>
              <w:rPr>
                <w:rFonts w:ascii="Times New Roman" w:cs="Times New Roman" w:eastAsia="Times New Roman" w:hAnsi="Times New Roman"/>
                <w:sz w:val="18"/>
                <w:szCs w:val="18"/>
                <w:color w:val="0000FF"/>
                <w:w w:val="99"/>
              </w:rPr>
              <w:t>Press Release, dated June 2, 2026</w:t>
            </w:r>
          </w:p>
        </w:tc>
        <w:tc>
          <w:tcPr>
            <w:tcW w:w="7520" w:type="dxa"/>
            <w:vAlign w:val="bottom"/>
          </w:tcPr>
          <w:p>
            <w:pPr>
              <w:spacing w:after="0"/>
              <w:rPr>
                <w:sz w:val="17"/>
                <w:szCs w:val="17"/>
                <w:color w:val="auto"/>
              </w:rPr>
            </w:pPr>
          </w:p>
        </w:tc>
      </w:tr>
      <w:tr>
        <w:trPr>
          <w:trHeight w:val="264"/>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640"/>
        </w:trPr>
        <w:tc>
          <w:tcPr>
            <w:tcW w:w="128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7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1323340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Heron Therapeutics, Inc.</w:t>
            </w:r>
          </w:p>
        </w:tc>
      </w:tr>
      <w:tr>
        <w:trPr>
          <w:trHeight w:val="432"/>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June 2, 2026</w:t>
            </w:r>
          </w:p>
        </w:tc>
        <w:tc>
          <w:tcPr>
            <w:tcW w:w="7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Ira Duarte</w:t>
            </w:r>
          </w:p>
        </w:tc>
      </w:tr>
      <w:tr>
        <w:trPr>
          <w:trHeight w:val="191"/>
        </w:trPr>
        <w:tc>
          <w:tcPr>
            <w:tcW w:w="3940" w:type="dxa"/>
            <w:vAlign w:val="bottom"/>
          </w:tcPr>
          <w:p>
            <w:pPr>
              <w:spacing w:after="0"/>
              <w:rPr>
                <w:sz w:val="16"/>
                <w:szCs w:val="16"/>
                <w:color w:val="auto"/>
              </w:rPr>
            </w:pPr>
          </w:p>
        </w:tc>
        <w:tc>
          <w:tcPr>
            <w:tcW w:w="73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Ira Duarte</w:t>
            </w:r>
          </w:p>
        </w:tc>
      </w:tr>
      <w:tr>
        <w:trPr>
          <w:trHeight w:val="234"/>
        </w:trPr>
        <w:tc>
          <w:tcPr>
            <w:tcW w:w="3940" w:type="dxa"/>
            <w:vAlign w:val="bottom"/>
          </w:tcPr>
          <w:p>
            <w:pPr>
              <w:spacing w:after="0"/>
              <w:rPr>
                <w:sz w:val="20"/>
                <w:szCs w:val="20"/>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r>
      <w:tr>
        <w:trPr>
          <w:trHeight w:val="445"/>
        </w:trPr>
        <w:tc>
          <w:tcPr>
            <w:tcW w:w="3940" w:type="dxa"/>
            <w:vAlign w:val="bottom"/>
            <w:tcBorders>
              <w:bottom w:val="single" w:sz="8" w:color="808080"/>
            </w:tcBorders>
          </w:tcPr>
          <w:p>
            <w:pPr>
              <w:spacing w:after="0"/>
              <w:rPr>
                <w:sz w:val="24"/>
                <w:szCs w:val="24"/>
                <w:color w:val="auto"/>
              </w:rPr>
            </w:pPr>
          </w:p>
        </w:tc>
        <w:tc>
          <w:tcPr>
            <w:tcW w:w="7300" w:type="dxa"/>
            <w:vAlign w:val="bottom"/>
            <w:tcBorders>
              <w:bottom w:val="single" w:sz="8" w:color="808080"/>
            </w:tcBorders>
          </w:tcPr>
          <w:p>
            <w:pPr>
              <w:spacing w:after="0"/>
              <w:rPr>
                <w:sz w:val="24"/>
                <w:szCs w:val="24"/>
                <w:color w:val="auto"/>
              </w:rPr>
            </w:pPr>
          </w:p>
        </w:tc>
      </w:tr>
      <w:tr>
        <w:trPr>
          <w:trHeight w:val="1621"/>
        </w:trPr>
        <w:tc>
          <w:tcPr>
            <w:tcW w:w="3940" w:type="dxa"/>
            <w:vAlign w:val="bottom"/>
            <w:tcBorders>
              <w:bottom w:val="single" w:sz="8" w:color="9A9A9A"/>
            </w:tcBorders>
          </w:tcPr>
          <w:p>
            <w:pPr>
              <w:spacing w:after="0"/>
              <w:rPr>
                <w:sz w:val="24"/>
                <w:szCs w:val="24"/>
                <w:color w:val="auto"/>
              </w:rPr>
            </w:pPr>
          </w:p>
        </w:tc>
        <w:tc>
          <w:tcPr>
            <w:tcW w:w="7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 District Court Issues Decision Regarding CINVANTI</w:t>
      </w:r>
      <w:r>
        <w:rPr>
          <w:rFonts w:ascii="Arial" w:cs="Arial" w:eastAsia="Arial" w:hAnsi="Arial"/>
          <w:sz w:val="26"/>
          <w:szCs w:val="26"/>
          <w:b w:val="1"/>
          <w:bCs w:val="1"/>
          <w:color w:val="auto"/>
          <w:vertAlign w:val="superscript"/>
        </w:rPr>
        <w:t>®</w:t>
      </w:r>
      <w:r>
        <w:rPr>
          <w:rFonts w:ascii="Arial" w:cs="Arial" w:eastAsia="Arial" w:hAnsi="Arial"/>
          <w:sz w:val="20"/>
          <w:szCs w:val="20"/>
          <w:b w:val="1"/>
          <w:bCs w:val="1"/>
          <w:color w:val="auto"/>
        </w:rPr>
        <w:t xml:space="preserve"> Patents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After Reviewing the Ruling, Heron Believes It has Substantial Grounds for Obtaining Reversal in an Appeal —</w:t>
      </w:r>
    </w:p>
    <w:p>
      <w:pPr>
        <w:spacing w:after="0" w:line="128" w:lineRule="exact"/>
        <w:rPr>
          <w:sz w:val="20"/>
          <w:szCs w:val="20"/>
          <w:color w:val="auto"/>
        </w:rPr>
      </w:pPr>
    </w:p>
    <w:p>
      <w:pPr>
        <w:jc w:val="both"/>
        <w:spacing w:after="0" w:line="211" w:lineRule="auto"/>
        <w:rPr>
          <w:sz w:val="20"/>
          <w:szCs w:val="20"/>
          <w:color w:val="auto"/>
        </w:rPr>
      </w:pPr>
      <w:r>
        <w:rPr>
          <w:rFonts w:ascii="Arial" w:cs="Arial" w:eastAsia="Arial" w:hAnsi="Arial"/>
          <w:sz w:val="20"/>
          <w:szCs w:val="20"/>
          <w:color w:val="auto"/>
        </w:rPr>
        <w:t>CARY, N.C., June 2, 2026 (GLOBE NEWSWIRE) - Heron Therapeutics, Inc. (Nasdaq: HRTX) (“Heron” or the “Company”), a commercial-stage biotechnology company, today announced that the U.S. District Court for the District of Delaware issued a decision in the patent litigation between Heron and Azurity Pharmaceuticals, Inc., Azurity Pharmaceuticals India LLP f/k/a Slayback Pharma India LLP, and Slayback Pharma LLC (“Azurity”), with respect to CINVANTI</w:t>
      </w:r>
      <w:r>
        <w:rPr>
          <w:rFonts w:ascii="Arial" w:cs="Arial" w:eastAsia="Arial" w:hAnsi="Arial"/>
          <w:sz w:val="26"/>
          <w:szCs w:val="26"/>
          <w:color w:val="auto"/>
          <w:vertAlign w:val="superscript"/>
        </w:rPr>
        <w:t>®</w:t>
      </w:r>
      <w:r>
        <w:rPr>
          <w:rFonts w:ascii="Arial" w:cs="Arial" w:eastAsia="Arial" w:hAnsi="Arial"/>
          <w:sz w:val="20"/>
          <w:szCs w:val="20"/>
          <w:color w:val="auto"/>
        </w:rPr>
        <w:t xml:space="preserve"> (aprepitant) injectable emulsion, holding that the asserted claims of Company’s U.S. Patent Nos. 12,115,255 and 12,290,520 are invalid. This decision has no impact on any prior settlement agreement related to CINVANTI</w:t>
      </w:r>
      <w:r>
        <w:rPr>
          <w:rFonts w:ascii="Arial" w:cs="Arial" w:eastAsia="Arial" w:hAnsi="Arial"/>
          <w:sz w:val="26"/>
          <w:szCs w:val="26"/>
          <w:color w:val="auto"/>
          <w:vertAlign w:val="superscript"/>
        </w:rPr>
        <w:t>®</w:t>
      </w:r>
      <w:r>
        <w:rPr>
          <w:rFonts w:ascii="Arial" w:cs="Arial" w:eastAsia="Arial" w:hAnsi="Arial"/>
          <w:sz w:val="20"/>
          <w:szCs w:val="20"/>
          <w:color w:val="auto"/>
        </w:rPr>
        <w:t xml:space="preserve"> (aprepitant) injectable emulsion or APONVIE</w:t>
      </w:r>
      <w:r>
        <w:rPr>
          <w:rFonts w:ascii="Arial" w:cs="Arial" w:eastAsia="Arial" w:hAnsi="Arial"/>
          <w:sz w:val="26"/>
          <w:szCs w:val="26"/>
          <w:color w:val="auto"/>
          <w:vertAlign w:val="superscript"/>
        </w:rPr>
        <w:t>®</w:t>
      </w:r>
      <w:r>
        <w:rPr>
          <w:rFonts w:ascii="Arial" w:cs="Arial" w:eastAsia="Arial" w:hAnsi="Arial"/>
          <w:sz w:val="20"/>
          <w:szCs w:val="20"/>
          <w:color w:val="auto"/>
        </w:rPr>
        <w:t xml:space="preserve"> (aprepitant) injectable emulsion. Heron intends to appeal the decision to the United States Court of Appeals for the Federal Circuit, a court that specializes in patent disputes.</w:t>
      </w:r>
    </w:p>
    <w:p>
      <w:pPr>
        <w:spacing w:after="0" w:line="10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“We are disappointed with this initial result of the litigation and will vigorously pursue our appeal and all available remedies, including equitable relief if necessary, as we continue to defend our intellectual property rights,” said Craig Collard, Chief Executive Officer of Heron.</w:t>
      </w:r>
    </w:p>
    <w:p>
      <w:pPr>
        <w:spacing w:after="0" w:line="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Heron Therapeutics, Inc.</w:t>
      </w:r>
    </w:p>
    <w:p>
      <w:pPr>
        <w:spacing w:after="0" w:line="137"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Heron Therapeutics, Inc. is a commercial-stage biotechnology company focused on improving the lives of patients by developing and commercializing therapeutic innovations that improve medical care. Our advanced science, patented technologies, and innovative approach to drug discovery and development have allowed us to create and commercialize a portfolio of products that aim to advance the standard-of-care for acute care and oncology patients. For more information, visit www.herontx.com.</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23"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This news release contains “forward-looking statements” as defined by the Private Securities Litigation Reform Act of 1995. Heron cautions readers that forward-looking statements are based on management's expectations and assumptions as of the date of this news release and are subject to certain risks and uncertainties that could cause actual results to differ materially. Therefore, you should not place undue reliance on forward-looking statements. Examples of forward-looking statements include, among others, statements we make regarding whether Heron appeals the decision and Heron’s ability to obtain a stay of market entry. Important factors that could cause actual results to differ materially from those in the forward-looking statements are set forth in our most recent Annual Report on Form 10-K and any subsequent Quarterly Reports on Form 10-Q, and in our other reports filed with the Securities and Exchange Commission, including under the caption “Risk Factors.” Forward-looking statements reflect our analysis only on their stated date, and Heron takes no obligation to update or revise these statements except as may be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958850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Investor Relations and Media Contact:</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color w:val="auto"/>
        </w:rPr>
        <w:t>Ira Duarte</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Executive Vice President, Chief Financial Officer</w:t>
      </w:r>
    </w:p>
    <w:p>
      <w:pPr>
        <w:spacing w:after="0" w:line="225" w:lineRule="auto"/>
        <w:rPr>
          <w:sz w:val="20"/>
          <w:szCs w:val="20"/>
          <w:color w:val="auto"/>
        </w:rPr>
      </w:pPr>
      <w:r>
        <w:rPr>
          <w:rFonts w:ascii="Arial" w:cs="Arial" w:eastAsia="Arial" w:hAnsi="Arial"/>
          <w:sz w:val="20"/>
          <w:szCs w:val="20"/>
          <w:color w:val="auto"/>
        </w:rPr>
        <w:t>Heron Therapeutics, Inc.</w:t>
      </w:r>
    </w:p>
    <w:p>
      <w:pPr>
        <w:spacing w:after="0" w:line="225" w:lineRule="auto"/>
        <w:rPr>
          <w:sz w:val="20"/>
          <w:szCs w:val="20"/>
          <w:color w:val="auto"/>
        </w:rPr>
      </w:pPr>
      <w:r>
        <w:rPr>
          <w:rFonts w:ascii="Arial" w:cs="Arial" w:eastAsia="Arial" w:hAnsi="Arial"/>
          <w:sz w:val="20"/>
          <w:szCs w:val="20"/>
          <w:color w:val="467886"/>
        </w:rPr>
        <w:t>iduarte@herontx.com</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858-251-4400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1095375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2" w:right="1440"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2026-06-02T16:43:39Z</dcterms:created>
  <dcterms:modified xsi:type="dcterms:W3CDTF">2026-06-02T16:43:39Z</dcterms:modified>
</cp:coreProperties>
</file>