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Hensley Mark Earl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FENTON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HERON THERAPEUTICS,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11,769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148,539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11,769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164,776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January 30, 2026 (the "Date of Grant"), the Reporting Person was granted 188,315 RSUs which vest upon the following time-based vesting schedule: the RSUs vest in 16 equal quarterly installments beginning one quarter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Lester Attorney-in-Fact for Mark E. Hensley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5816" TargetMode="External"/><Relationship Id="rId5" Type="http://schemas.openxmlformats.org/officeDocument/2006/relationships/hyperlink" Target="http://www.sec.gov/cgi-bin/browse-edgar?action=getcompany&amp;CIK=00008180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3465</Characters>
  <CharactersWithSpaces>4025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